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博罗县石湾镇人民政府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 曾健锋</w:t>
      </w:r>
    </w:p>
    <w:p>
      <w:pPr>
        <w:jc w:val="left"/>
        <w:rPr>
          <w:rFonts w:ascii="仿宋" w:hAnsi="仿宋" w:eastAsia="仿宋" w:cs="Arial"/>
          <w:color w:val="auto"/>
          <w:sz w:val="32"/>
          <w:szCs w:val="32"/>
        </w:rPr>
      </w:pPr>
      <w:r>
        <w:rPr>
          <w:rFonts w:hint="eastAsia" w:ascii="仿宋" w:hAnsi="仿宋" w:eastAsia="仿宋" w:cs="Arial"/>
          <w:color w:val="auto"/>
          <w:sz w:val="32"/>
          <w:szCs w:val="32"/>
        </w:rPr>
        <w:t>地址：博罗县石湾镇人民路</w:t>
      </w:r>
      <w:r>
        <w:rPr>
          <w:rFonts w:hint="eastAsia" w:ascii="仿宋" w:hAnsi="仿宋" w:eastAsia="仿宋" w:cs="Arial"/>
          <w:color w:val="auto"/>
          <w:sz w:val="32"/>
          <w:szCs w:val="32"/>
          <w:lang w:val="en-US" w:eastAsia="zh-CN"/>
        </w:rPr>
        <w:t>5</w:t>
      </w:r>
      <w:bookmarkStart w:id="0" w:name="_GoBack"/>
      <w:bookmarkEnd w:id="0"/>
      <w:r>
        <w:rPr>
          <w:rFonts w:hint="eastAsia" w:ascii="仿宋" w:hAnsi="仿宋" w:eastAsia="仿宋" w:cs="Arial"/>
          <w:color w:val="auto"/>
          <w:sz w:val="32"/>
          <w:szCs w:val="32"/>
        </w:rPr>
        <w:t>号</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default" w:ascii="仿宋_GB2312" w:eastAsia="仿宋_GB2312"/>
          <w:sz w:val="32"/>
          <w:szCs w:val="32"/>
          <w:u w:val="single"/>
          <w:lang w:val="en-US" w:eastAsia="zh-CN"/>
        </w:rPr>
        <w:t>博自然资（用地）挂字〔2022〕1</w:t>
      </w:r>
      <w:r>
        <w:rPr>
          <w:rFonts w:hint="eastAsia" w:ascii="仿宋_GB2312" w:eastAsia="仿宋_GB2312"/>
          <w:sz w:val="32"/>
          <w:szCs w:val="32"/>
          <w:u w:val="single"/>
          <w:lang w:val="en-US" w:eastAsia="zh-CN"/>
        </w:rPr>
        <w:t>3</w:t>
      </w:r>
      <w:r>
        <w:rPr>
          <w:rFonts w:hint="default" w:ascii="仿宋_GB2312" w:eastAsia="仿宋_GB2312"/>
          <w:sz w:val="32"/>
          <w:szCs w:val="32"/>
          <w:u w:val="single"/>
          <w:lang w:val="en-US" w:eastAsia="zh-CN"/>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 xml:space="preserve"> 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生产家居用品、家具制品、家具五金、家具配件制品</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u w:val="none"/>
          <w:lang w:val="en-US" w:eastAsia="zh-CN"/>
        </w:rPr>
        <w:t>个月内</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内完成厂房竣工验收，厂房竣工验收之日起</w:t>
      </w:r>
      <w:r>
        <w:rPr>
          <w:rFonts w:hint="eastAsia" w:ascii="仿宋" w:hAnsi="仿宋" w:eastAsia="仿宋" w:cs="Arial"/>
          <w:color w:val="auto"/>
          <w:sz w:val="32"/>
          <w:szCs w:val="32"/>
          <w:u w:val="single"/>
          <w:lang w:val="en-US" w:eastAsia="zh-CN"/>
        </w:rPr>
        <w:t xml:space="preserve"> 6</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hint="eastAsia" w:ascii="仿宋" w:hAnsi="仿宋" w:eastAsia="仿宋" w:cs="Arial"/>
          <w:color w:val="auto"/>
          <w:sz w:val="40"/>
          <w:szCs w:val="40"/>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lang w:val="en-US" w:eastAsia="zh-CN"/>
        </w:rPr>
        <w:t xml:space="preserve"> 110631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w:t>
      </w:r>
      <w:r>
        <w:rPr>
          <w:rFonts w:hint="eastAsia" w:ascii="仿宋" w:hAnsi="仿宋" w:eastAsia="仿宋" w:cs="Arial"/>
          <w:color w:val="auto"/>
          <w:sz w:val="32"/>
          <w:szCs w:val="32"/>
          <w:highlight w:val="none"/>
          <w:lang w:val="en-US" w:eastAsia="zh-CN"/>
        </w:rPr>
        <w:t>于</w:t>
      </w:r>
      <w:r>
        <w:rPr>
          <w:rFonts w:hint="eastAsia" w:ascii="仿宋" w:hAnsi="仿宋" w:eastAsia="仿宋" w:cs="Arial"/>
          <w:color w:val="auto"/>
          <w:sz w:val="32"/>
          <w:szCs w:val="32"/>
          <w:highlight w:val="none"/>
          <w:u w:val="single"/>
          <w:lang w:val="en-US" w:eastAsia="zh-CN"/>
        </w:rPr>
        <w:t xml:space="preserve">12 </w:t>
      </w:r>
      <w:r>
        <w:rPr>
          <w:rFonts w:hint="eastAsia" w:ascii="仿宋" w:hAnsi="仿宋" w:eastAsia="仿宋" w:cs="Arial"/>
          <w:color w:val="auto"/>
          <w:sz w:val="32"/>
          <w:szCs w:val="32"/>
          <w:highlight w:val="none"/>
          <w:u w:val="none"/>
          <w:lang w:val="en-US" w:eastAsia="zh-CN"/>
        </w:rPr>
        <w:t xml:space="preserve">亿元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。乙方承诺：项目达产后，可实现</w:t>
      </w:r>
      <w:r>
        <w:rPr>
          <w:rFonts w:hint="eastAsia" w:ascii="仿宋" w:hAnsi="仿宋" w:eastAsia="仿宋" w:cs="Arial"/>
          <w:color w:val="auto"/>
          <w:sz w:val="32"/>
          <w:szCs w:val="32"/>
          <w:highlight w:val="none"/>
          <w:lang w:val="en-US" w:eastAsia="zh-CN"/>
        </w:rPr>
        <w:t>年产值不低于</w:t>
      </w:r>
      <w:r>
        <w:rPr>
          <w:rFonts w:hint="eastAsia" w:ascii="仿宋" w:hAnsi="仿宋" w:eastAsia="仿宋" w:cs="Arial"/>
          <w:color w:val="auto"/>
          <w:sz w:val="32"/>
          <w:szCs w:val="32"/>
          <w:highlight w:val="none"/>
          <w:u w:val="single"/>
          <w:lang w:val="en-US" w:eastAsia="zh-CN"/>
        </w:rPr>
        <w:t xml:space="preserve"> 1200 </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固定资产投资强度不低于</w:t>
      </w:r>
      <w:r>
        <w:rPr>
          <w:rFonts w:hint="eastAsia" w:ascii="仿宋" w:hAnsi="仿宋" w:eastAsia="仿宋" w:cs="Arial"/>
          <w:color w:val="auto"/>
          <w:sz w:val="32"/>
          <w:szCs w:val="32"/>
          <w:highlight w:val="none"/>
          <w:u w:val="single"/>
          <w:lang w:val="en-US" w:eastAsia="zh-CN"/>
        </w:rPr>
        <w:t xml:space="preserve"> 600万元/亩</w:t>
      </w:r>
      <w:r>
        <w:rPr>
          <w:rFonts w:hint="eastAsia" w:ascii="仿宋" w:hAnsi="仿宋" w:eastAsia="仿宋" w:cs="Arial"/>
          <w:color w:val="auto"/>
          <w:sz w:val="32"/>
          <w:szCs w:val="32"/>
          <w:highlight w:val="none"/>
          <w:lang w:val="en-US" w:eastAsia="zh-CN"/>
        </w:rPr>
        <w:t>（人民币），年度</w:t>
      </w:r>
      <w:r>
        <w:rPr>
          <w:rFonts w:hint="eastAsia" w:ascii="仿宋" w:hAnsi="仿宋" w:eastAsia="仿宋" w:cs="Arial"/>
          <w:color w:val="auto"/>
          <w:sz w:val="32"/>
          <w:szCs w:val="32"/>
          <w:highlight w:val="none"/>
        </w:rPr>
        <w:t>税收</w:t>
      </w:r>
      <w:r>
        <w:rPr>
          <w:rFonts w:hint="eastAsia" w:ascii="仿宋" w:hAnsi="仿宋" w:eastAsia="仿宋" w:cs="Arial"/>
          <w:color w:val="auto"/>
          <w:sz w:val="32"/>
          <w:szCs w:val="32"/>
          <w:highlight w:val="none"/>
          <w:lang w:val="en-US" w:eastAsia="zh-CN"/>
        </w:rPr>
        <w:t>不低于</w:t>
      </w:r>
      <w:r>
        <w:rPr>
          <w:rFonts w:hint="eastAsia" w:ascii="仿宋" w:hAnsi="仿宋" w:eastAsia="仿宋" w:cs="Arial"/>
          <w:color w:val="auto"/>
          <w:sz w:val="32"/>
          <w:szCs w:val="32"/>
          <w:highlight w:val="none"/>
          <w:u w:val="single"/>
          <w:lang w:val="en-US" w:eastAsia="zh-CN"/>
        </w:rPr>
        <w:t>50</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u w:val="none"/>
          <w:lang w:val="en-US" w:eastAsia="zh-CN"/>
        </w:rPr>
        <w:t>万元/亩</w:t>
      </w:r>
      <w:r>
        <w:rPr>
          <w:rFonts w:hint="eastAsia" w:ascii="仿宋" w:hAnsi="仿宋" w:eastAsia="仿宋" w:cs="Arial"/>
          <w:color w:val="auto"/>
          <w:sz w:val="32"/>
          <w:szCs w:val="32"/>
          <w:highlight w:val="none"/>
          <w:lang w:val="en-US" w:eastAsia="zh-CN"/>
        </w:rPr>
        <w:t>（人民币）</w:t>
      </w:r>
      <w:r>
        <w:rPr>
          <w:rFonts w:hint="eastAsia" w:ascii="仿宋" w:hAnsi="仿宋" w:eastAsia="仿宋" w:cs="Arial"/>
          <w:color w:val="auto"/>
          <w:sz w:val="32"/>
          <w:szCs w:val="32"/>
          <w:lang w:val="en-US" w:eastAsia="zh-CN"/>
        </w:rPr>
        <w:t>。</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自达产之日起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6.乙方需在该地块周边</w:t>
      </w:r>
      <w:r>
        <w:rPr>
          <w:rFonts w:hint="eastAsia" w:ascii="仿宋_GB2312" w:hAnsi="仿宋_GB2312" w:eastAsia="仿宋_GB2312" w:cs="仿宋_GB2312"/>
          <w:b w:val="0"/>
          <w:bCs w:val="0"/>
          <w:color w:val="auto"/>
          <w:sz w:val="32"/>
          <w:szCs w:val="32"/>
          <w:lang w:val="en-US" w:eastAsia="zh-CN"/>
        </w:rPr>
        <w:t>配建4条市政道路：经一路、经二路、纬二路、纬六路。配建主要内容包括完善主路面硬底化、扩宽原有道路、人行道、排水箱涵、雨水管道、路灯安装、绿化种植等，其中纬二路需要建设3.</w:t>
      </w:r>
      <w:r>
        <w:rPr>
          <w:rFonts w:hint="eastAsia" w:ascii="仿宋" w:hAnsi="仿宋" w:eastAsia="仿宋" w:cs="Arial"/>
          <w:color w:val="auto"/>
          <w:sz w:val="32"/>
          <w:szCs w:val="32"/>
          <w:lang w:val="en-US" w:eastAsia="zh-CN"/>
        </w:rPr>
        <w:t>1米宽箱涵。道路建设完成后通过甲方验收，如未达甲方验收标准的，乙方应在6个月内进行整改直至道路最终经甲方验收合格为止。初步估算，道路配建工程建设投资总额约4659.67万元，费用由乙方承担。</w:t>
      </w:r>
    </w:p>
    <w:p>
      <w:pPr>
        <w:ind w:firstLine="640" w:firstLineChars="200"/>
        <w:jc w:val="both"/>
        <w:rPr>
          <w:rFonts w:hint="eastAsia" w:ascii="仿宋" w:hAnsi="仿宋" w:eastAsia="仿宋" w:cs="Arial"/>
          <w:color w:val="auto"/>
          <w:sz w:val="32"/>
          <w:szCs w:val="32"/>
        </w:rPr>
      </w:pP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乙双方执二份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r>
        <w:rPr>
          <w:rFonts w:ascii="仿宋" w:hAnsi="仿宋" w:eastAsia="仿宋" w:cs="Arial"/>
          <w:color w:val="auto"/>
          <w:sz w:val="32"/>
          <w:szCs w:val="32"/>
        </w:rPr>
        <w:br w:type="textWrapping"/>
      </w: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3AF17F8"/>
    <w:rsid w:val="04853F9C"/>
    <w:rsid w:val="06C37244"/>
    <w:rsid w:val="087C55E5"/>
    <w:rsid w:val="089260C7"/>
    <w:rsid w:val="09153D40"/>
    <w:rsid w:val="091C5D2B"/>
    <w:rsid w:val="09B6085E"/>
    <w:rsid w:val="09CD5A4C"/>
    <w:rsid w:val="0AA57B61"/>
    <w:rsid w:val="0C134325"/>
    <w:rsid w:val="0C742940"/>
    <w:rsid w:val="0D096354"/>
    <w:rsid w:val="0F605FF0"/>
    <w:rsid w:val="0F7647B4"/>
    <w:rsid w:val="10026C79"/>
    <w:rsid w:val="109F32A2"/>
    <w:rsid w:val="10D90D96"/>
    <w:rsid w:val="10FB725B"/>
    <w:rsid w:val="116D081C"/>
    <w:rsid w:val="11A96F5F"/>
    <w:rsid w:val="12FC44E0"/>
    <w:rsid w:val="13225CD9"/>
    <w:rsid w:val="16273163"/>
    <w:rsid w:val="16284AA0"/>
    <w:rsid w:val="174E545D"/>
    <w:rsid w:val="17C202D9"/>
    <w:rsid w:val="18031C72"/>
    <w:rsid w:val="186C4E29"/>
    <w:rsid w:val="18867AFC"/>
    <w:rsid w:val="19354D94"/>
    <w:rsid w:val="19B9086A"/>
    <w:rsid w:val="19D062B4"/>
    <w:rsid w:val="1B9548CD"/>
    <w:rsid w:val="1BB0704B"/>
    <w:rsid w:val="1C317426"/>
    <w:rsid w:val="1CCB1518"/>
    <w:rsid w:val="1D5D4A42"/>
    <w:rsid w:val="1DAC6A68"/>
    <w:rsid w:val="1DBA6C45"/>
    <w:rsid w:val="20934BA0"/>
    <w:rsid w:val="21BB3A04"/>
    <w:rsid w:val="21D45B24"/>
    <w:rsid w:val="223932CB"/>
    <w:rsid w:val="245A0605"/>
    <w:rsid w:val="25145B3D"/>
    <w:rsid w:val="251D7E5E"/>
    <w:rsid w:val="265B65C8"/>
    <w:rsid w:val="26B22A7B"/>
    <w:rsid w:val="28B50087"/>
    <w:rsid w:val="29CF60A3"/>
    <w:rsid w:val="2A82618E"/>
    <w:rsid w:val="2AAD53F3"/>
    <w:rsid w:val="2B090704"/>
    <w:rsid w:val="2C3B26C9"/>
    <w:rsid w:val="2C5509C3"/>
    <w:rsid w:val="2CD3170B"/>
    <w:rsid w:val="2D770135"/>
    <w:rsid w:val="30D94CB4"/>
    <w:rsid w:val="31526B7D"/>
    <w:rsid w:val="323245A1"/>
    <w:rsid w:val="33F0055A"/>
    <w:rsid w:val="34E656BB"/>
    <w:rsid w:val="364A2A2C"/>
    <w:rsid w:val="3708183A"/>
    <w:rsid w:val="38501441"/>
    <w:rsid w:val="3970453B"/>
    <w:rsid w:val="3B5D31DA"/>
    <w:rsid w:val="3BEA777F"/>
    <w:rsid w:val="3C5D7BC2"/>
    <w:rsid w:val="3D9271F1"/>
    <w:rsid w:val="3E443641"/>
    <w:rsid w:val="3E4671B3"/>
    <w:rsid w:val="3EFE4213"/>
    <w:rsid w:val="3F1D0AB3"/>
    <w:rsid w:val="3FB2071B"/>
    <w:rsid w:val="402A1091"/>
    <w:rsid w:val="41A30980"/>
    <w:rsid w:val="41BC39F2"/>
    <w:rsid w:val="42C27889"/>
    <w:rsid w:val="42CD610E"/>
    <w:rsid w:val="43F67581"/>
    <w:rsid w:val="44CA3F18"/>
    <w:rsid w:val="45DE4434"/>
    <w:rsid w:val="461D0AA5"/>
    <w:rsid w:val="46A9479E"/>
    <w:rsid w:val="47AC4FA4"/>
    <w:rsid w:val="487B755A"/>
    <w:rsid w:val="488B7004"/>
    <w:rsid w:val="4A304FB5"/>
    <w:rsid w:val="4A834031"/>
    <w:rsid w:val="4B373F9C"/>
    <w:rsid w:val="4BC27CD0"/>
    <w:rsid w:val="4BC64786"/>
    <w:rsid w:val="4BDB2055"/>
    <w:rsid w:val="4EB77D91"/>
    <w:rsid w:val="4F775327"/>
    <w:rsid w:val="51F75E40"/>
    <w:rsid w:val="521673FB"/>
    <w:rsid w:val="52C73E32"/>
    <w:rsid w:val="5303680F"/>
    <w:rsid w:val="544C5A47"/>
    <w:rsid w:val="54C74F93"/>
    <w:rsid w:val="568A688B"/>
    <w:rsid w:val="56D30DAA"/>
    <w:rsid w:val="56E036DE"/>
    <w:rsid w:val="57371331"/>
    <w:rsid w:val="589457E3"/>
    <w:rsid w:val="58E65369"/>
    <w:rsid w:val="5B7C42D7"/>
    <w:rsid w:val="5C2D7897"/>
    <w:rsid w:val="5C881555"/>
    <w:rsid w:val="5C970D98"/>
    <w:rsid w:val="5CF32F48"/>
    <w:rsid w:val="5CFF157D"/>
    <w:rsid w:val="5E5F6A0E"/>
    <w:rsid w:val="5E8E54B9"/>
    <w:rsid w:val="5EDB70DB"/>
    <w:rsid w:val="5FE00A07"/>
    <w:rsid w:val="615A6F19"/>
    <w:rsid w:val="61871CC8"/>
    <w:rsid w:val="640D1C21"/>
    <w:rsid w:val="641810B4"/>
    <w:rsid w:val="64397DDA"/>
    <w:rsid w:val="64A91CE8"/>
    <w:rsid w:val="64C8719F"/>
    <w:rsid w:val="65017FD4"/>
    <w:rsid w:val="65A213B1"/>
    <w:rsid w:val="672236A1"/>
    <w:rsid w:val="686205BE"/>
    <w:rsid w:val="68934291"/>
    <w:rsid w:val="68D0020D"/>
    <w:rsid w:val="696276C9"/>
    <w:rsid w:val="696778D4"/>
    <w:rsid w:val="6AEF79A2"/>
    <w:rsid w:val="6C8211A2"/>
    <w:rsid w:val="6CAB7FCE"/>
    <w:rsid w:val="6D9B6FB7"/>
    <w:rsid w:val="6E47422A"/>
    <w:rsid w:val="6EC41E14"/>
    <w:rsid w:val="6F522F8D"/>
    <w:rsid w:val="6FAB59F3"/>
    <w:rsid w:val="6FC25829"/>
    <w:rsid w:val="70492E6B"/>
    <w:rsid w:val="70CC701F"/>
    <w:rsid w:val="71535DA0"/>
    <w:rsid w:val="71664424"/>
    <w:rsid w:val="726309DB"/>
    <w:rsid w:val="75722252"/>
    <w:rsid w:val="76606B4D"/>
    <w:rsid w:val="76876E6B"/>
    <w:rsid w:val="78B36EFA"/>
    <w:rsid w:val="78DF2DF3"/>
    <w:rsid w:val="7B2B5738"/>
    <w:rsid w:val="7B9408DF"/>
    <w:rsid w:val="7BC04E2B"/>
    <w:rsid w:val="7BE203C6"/>
    <w:rsid w:val="7C014F3D"/>
    <w:rsid w:val="7CB616AD"/>
    <w:rsid w:val="7D9B63CE"/>
    <w:rsid w:val="7DC224CB"/>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6</TotalTime>
  <ScaleCrop>false</ScaleCrop>
  <LinksUpToDate>false</LinksUpToDate>
  <CharactersWithSpaces>2256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cp:lastModifiedBy>
  <cp:lastPrinted>2021-12-03T07:33:00Z</cp:lastPrinted>
  <dcterms:modified xsi:type="dcterms:W3CDTF">2022-03-15T09:19:29Z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C62C7C90CFB9472FAF607ECA71867371</vt:lpwstr>
  </property>
</Properties>
</file>